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B4C" w:rsidRDefault="000B3B4C" w:rsidP="000B3B4C">
      <w:pPr>
        <w:pStyle w:val="1"/>
        <w:rPr>
          <w:szCs w:val="18"/>
        </w:rPr>
      </w:pPr>
      <w:r>
        <w:t>(591-19-5)3-溴苯胺的理化及危险特性表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3"/>
        <w:gridCol w:w="3290"/>
        <w:gridCol w:w="420"/>
        <w:gridCol w:w="2789"/>
        <w:gridCol w:w="2182"/>
      </w:tblGrid>
      <w:tr w:rsidR="000B3B4C"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标</w:t>
            </w:r>
          </w:p>
          <w:p w:rsidR="000B3B4C" w:rsidRDefault="000B3B4C" w:rsidP="0090435F">
            <w:pPr>
              <w:spacing w:line="272" w:lineRule="exact"/>
              <w:rPr>
                <w:rFonts w:ascii="宋体" w:hAnsi="宋体"/>
              </w:rPr>
            </w:pPr>
            <w:r>
              <w:rPr>
                <w:rFonts w:ascii="宋体" w:hAnsi="宋体" w:hint="eastAsia"/>
              </w:rPr>
              <w:t>识</w:t>
            </w:r>
          </w:p>
        </w:tc>
        <w:tc>
          <w:tcPr>
            <w:tcW w:w="3710" w:type="dxa"/>
            <w:gridSpan w:val="2"/>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szCs w:val="18"/>
              </w:rPr>
            </w:pPr>
            <w:r>
              <w:rPr>
                <w:rFonts w:ascii="宋体" w:hAnsi="宋体" w:hint="eastAsia"/>
                <w:szCs w:val="18"/>
              </w:rPr>
              <w:t>中文名：3-溴苯胺；间溴苯胺</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szCs w:val="18"/>
              </w:rPr>
            </w:pPr>
            <w:r>
              <w:rPr>
                <w:rFonts w:ascii="宋体" w:hAnsi="宋体" w:hint="eastAsia"/>
                <w:szCs w:val="18"/>
              </w:rPr>
              <w:t>英文名：3-bromoaniline；1-amino-3-bromobenzene </w:t>
            </w:r>
          </w:p>
        </w:tc>
      </w:tr>
      <w:tr w:rsidR="000B3B4C" w:rsidTr="0090435F">
        <w:trPr>
          <w:cantSplit/>
          <w:jc w:val="center"/>
        </w:trPr>
        <w:tc>
          <w:tcPr>
            <w:tcW w:w="493" w:type="dxa"/>
            <w:vMerge/>
            <w:tcBorders>
              <w:left w:val="single" w:sz="4" w:space="0" w:color="auto"/>
              <w:right w:val="single" w:sz="4" w:space="0" w:color="auto"/>
            </w:tcBorders>
            <w:vAlign w:val="center"/>
          </w:tcPr>
          <w:p w:rsidR="000B3B4C" w:rsidRDefault="000B3B4C" w:rsidP="0090435F">
            <w:pPr>
              <w:spacing w:line="272" w:lineRule="exact"/>
              <w:rPr>
                <w:rFonts w:ascii="宋体" w:hAnsi="宋体"/>
              </w:rPr>
            </w:pPr>
          </w:p>
        </w:tc>
        <w:tc>
          <w:tcPr>
            <w:tcW w:w="3710" w:type="dxa"/>
            <w:gridSpan w:val="2"/>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分子式：</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6</w:t>
            </w:r>
            <w:r>
              <w:rPr>
                <w:rFonts w:ascii="宋体" w:hAnsi="宋体" w:hint="eastAsia"/>
                <w:szCs w:val="18"/>
              </w:rPr>
              <w:t>BrN</w:t>
            </w:r>
          </w:p>
        </w:tc>
        <w:tc>
          <w:tcPr>
            <w:tcW w:w="2789" w:type="dxa"/>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分子量：172.03</w:t>
            </w:r>
          </w:p>
        </w:tc>
        <w:tc>
          <w:tcPr>
            <w:tcW w:w="2182" w:type="dxa"/>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UN编号：</w:t>
            </w:r>
          </w:p>
        </w:tc>
      </w:tr>
      <w:tr w:rsidR="000B3B4C" w:rsidTr="0090435F">
        <w:trPr>
          <w:cantSplit/>
          <w:jc w:val="center"/>
        </w:trPr>
        <w:tc>
          <w:tcPr>
            <w:tcW w:w="493" w:type="dxa"/>
            <w:vMerge/>
            <w:tcBorders>
              <w:left w:val="single" w:sz="4" w:space="0" w:color="auto"/>
              <w:right w:val="single" w:sz="4" w:space="0" w:color="auto"/>
            </w:tcBorders>
            <w:vAlign w:val="center"/>
          </w:tcPr>
          <w:p w:rsidR="000B3B4C" w:rsidRDefault="000B3B4C" w:rsidP="0090435F">
            <w:pPr>
              <w:spacing w:line="272" w:lineRule="exact"/>
              <w:rPr>
                <w:rFonts w:ascii="宋体" w:hAnsi="宋体"/>
              </w:rPr>
            </w:pPr>
          </w:p>
        </w:tc>
        <w:tc>
          <w:tcPr>
            <w:tcW w:w="3710" w:type="dxa"/>
            <w:gridSpan w:val="2"/>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危险类别：第6.1类  毒害品</w:t>
            </w:r>
          </w:p>
        </w:tc>
        <w:tc>
          <w:tcPr>
            <w:tcW w:w="2789" w:type="dxa"/>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危规号： 61774</w:t>
            </w:r>
          </w:p>
        </w:tc>
        <w:tc>
          <w:tcPr>
            <w:tcW w:w="2182" w:type="dxa"/>
            <w:tcBorders>
              <w:top w:val="single" w:sz="4" w:space="0" w:color="auto"/>
              <w:left w:val="single" w:sz="4" w:space="0" w:color="auto"/>
              <w:bottom w:val="single" w:sz="4" w:space="0" w:color="auto"/>
              <w:right w:val="single" w:sz="4" w:space="0" w:color="auto"/>
            </w:tcBorders>
            <w:vAlign w:val="center"/>
          </w:tcPr>
          <w:p>
            <w:r>
              <w:t>591-19-5</w:t>
            </w:r>
          </w:p>
        </w:tc>
      </w:tr>
      <w:tr w:rsidR="000B3B4C" w:rsidTr="0090435F">
        <w:trPr>
          <w:cantSplit/>
          <w:jc w:val="center"/>
        </w:trPr>
        <w:tc>
          <w:tcPr>
            <w:tcW w:w="493" w:type="dxa"/>
            <w:vMerge/>
            <w:tcBorders>
              <w:left w:val="single" w:sz="4" w:space="0" w:color="auto"/>
              <w:bottom w:val="nil"/>
              <w:right w:val="single" w:sz="4" w:space="0" w:color="auto"/>
            </w:tcBorders>
            <w:vAlign w:val="center"/>
          </w:tcPr>
          <w:p w:rsidR="000B3B4C" w:rsidRDefault="000B3B4C" w:rsidP="0090435F">
            <w:pPr>
              <w:spacing w:line="272" w:lineRule="exact"/>
              <w:rPr>
                <w:rFonts w:ascii="宋体" w:hAnsi="宋体"/>
              </w:rPr>
            </w:pPr>
          </w:p>
        </w:tc>
        <w:tc>
          <w:tcPr>
            <w:tcW w:w="3710" w:type="dxa"/>
            <w:gridSpan w:val="2"/>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 xml:space="preserve">包装标志： </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包装类别：</w:t>
            </w:r>
          </w:p>
        </w:tc>
      </w:tr>
      <w:tr w:rsidR="000B3B4C" w:rsidTr="0090435F">
        <w:trPr>
          <w:cantSplit/>
          <w:jc w:val="center"/>
        </w:trPr>
        <w:tc>
          <w:tcPr>
            <w:tcW w:w="493" w:type="dxa"/>
            <w:vMerge w:val="restart"/>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理</w:t>
            </w:r>
          </w:p>
          <w:p w:rsidR="000B3B4C" w:rsidRDefault="000B3B4C" w:rsidP="0090435F">
            <w:pPr>
              <w:spacing w:line="272" w:lineRule="exact"/>
              <w:rPr>
                <w:rFonts w:ascii="宋体" w:hAnsi="宋体"/>
              </w:rPr>
            </w:pPr>
            <w:r>
              <w:rPr>
                <w:rFonts w:ascii="宋体" w:hAnsi="宋体" w:hint="eastAsia"/>
              </w:rPr>
              <w:t>化</w:t>
            </w:r>
          </w:p>
          <w:p w:rsidR="000B3B4C" w:rsidRDefault="000B3B4C" w:rsidP="0090435F">
            <w:pPr>
              <w:spacing w:line="272" w:lineRule="exact"/>
              <w:rPr>
                <w:rFonts w:ascii="宋体" w:hAnsi="宋体"/>
              </w:rPr>
            </w:pPr>
            <w:r>
              <w:rPr>
                <w:rFonts w:ascii="宋体" w:hAnsi="宋体" w:hint="eastAsia"/>
              </w:rPr>
              <w:t>性</w:t>
            </w:r>
          </w:p>
          <w:p w:rsidR="000B3B4C" w:rsidRDefault="000B3B4C" w:rsidP="0090435F">
            <w:pPr>
              <w:spacing w:line="272" w:lineRule="exact"/>
              <w:rPr>
                <w:rFonts w:ascii="宋体" w:hAnsi="宋体"/>
              </w:rPr>
            </w:pPr>
            <w:r>
              <w:rPr>
                <w:rFonts w:ascii="宋体" w:hAnsi="宋体" w:hint="eastAsia"/>
              </w:rPr>
              <w:t>质</w:t>
            </w:r>
          </w:p>
        </w:tc>
        <w:tc>
          <w:tcPr>
            <w:tcW w:w="8681" w:type="dxa"/>
            <w:gridSpan w:val="4"/>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外观与性状：淡黄色液体或结晶。</w:t>
            </w:r>
          </w:p>
        </w:tc>
      </w:tr>
      <w:tr w:rsidR="000B3B4C"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p>
        </w:tc>
        <w:tc>
          <w:tcPr>
            <w:tcW w:w="8681" w:type="dxa"/>
            <w:gridSpan w:val="4"/>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溶解性 ：微溶于水，溶于乙醇、乙醚。</w:t>
            </w:r>
          </w:p>
        </w:tc>
      </w:tr>
      <w:tr w:rsidR="000B3B4C"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szCs w:val="18"/>
              </w:rPr>
            </w:pPr>
            <w:r>
              <w:rPr>
                <w:rFonts w:ascii="宋体" w:hAnsi="宋体" w:hint="eastAsia"/>
                <w:szCs w:val="18"/>
              </w:rPr>
              <w:t>熔点（℃）：</w:t>
            </w:r>
            <w:r>
              <w:rPr>
                <w:rFonts w:ascii="宋体" w:hAnsi="宋体" w:hint="eastAsia"/>
              </w:rPr>
              <w:t>18.5</w:t>
            </w:r>
          </w:p>
        </w:tc>
        <w:tc>
          <w:tcPr>
            <w:tcW w:w="5391" w:type="dxa"/>
            <w:gridSpan w:val="3"/>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沸点（℃）：251</w:t>
            </w:r>
          </w:p>
        </w:tc>
      </w:tr>
      <w:tr w:rsidR="000B3B4C"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相对密度（水＝1）：1.58</w:t>
            </w:r>
          </w:p>
        </w:tc>
        <w:tc>
          <w:tcPr>
            <w:tcW w:w="5391" w:type="dxa"/>
            <w:gridSpan w:val="3"/>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相对密度（空气＝1）：无资料</w:t>
            </w:r>
          </w:p>
        </w:tc>
      </w:tr>
      <w:tr w:rsidR="000B3B4C"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饱和蒸气压（kPa</w:t>
            </w:r>
            <w:r>
              <w:rPr>
                <w:rFonts w:ascii="宋体" w:hAnsi="宋体"/>
              </w:rPr>
              <w:t>）</w:t>
            </w:r>
            <w:r>
              <w:rPr>
                <w:rFonts w:ascii="宋体" w:hAnsi="宋体" w:hint="eastAsia"/>
              </w:rPr>
              <w:t>: 无资料</w:t>
            </w:r>
          </w:p>
        </w:tc>
        <w:tc>
          <w:tcPr>
            <w:tcW w:w="5391" w:type="dxa"/>
            <w:gridSpan w:val="3"/>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燃烧热（kJ/mol）：无资料</w:t>
            </w:r>
          </w:p>
        </w:tc>
      </w:tr>
      <w:tr w:rsidR="000B3B4C" w:rsidTr="0090435F">
        <w:trPr>
          <w:cantSplit/>
          <w:trHeight w:val="163"/>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临界温度（℃）：</w:t>
            </w:r>
          </w:p>
        </w:tc>
        <w:tc>
          <w:tcPr>
            <w:tcW w:w="5391" w:type="dxa"/>
            <w:gridSpan w:val="3"/>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临界压力（MPa）：</w:t>
            </w:r>
          </w:p>
        </w:tc>
      </w:tr>
      <w:tr w:rsidR="000B3B4C"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燃</w:t>
            </w:r>
          </w:p>
          <w:p w:rsidR="000B3B4C" w:rsidRDefault="000B3B4C" w:rsidP="0090435F">
            <w:pPr>
              <w:spacing w:line="272" w:lineRule="exact"/>
              <w:rPr>
                <w:rFonts w:ascii="宋体" w:hAnsi="宋体"/>
              </w:rPr>
            </w:pPr>
            <w:r>
              <w:rPr>
                <w:rFonts w:ascii="宋体" w:hAnsi="宋体" w:hint="eastAsia"/>
              </w:rPr>
              <w:t>烧</w:t>
            </w:r>
          </w:p>
          <w:p w:rsidR="000B3B4C" w:rsidRDefault="000B3B4C" w:rsidP="0090435F">
            <w:pPr>
              <w:spacing w:line="272" w:lineRule="exact"/>
              <w:rPr>
                <w:rFonts w:ascii="宋体" w:hAnsi="宋体"/>
              </w:rPr>
            </w:pPr>
            <w:r>
              <w:rPr>
                <w:rFonts w:ascii="宋体" w:hAnsi="宋体" w:hint="eastAsia"/>
              </w:rPr>
              <w:t>爆</w:t>
            </w:r>
          </w:p>
          <w:p w:rsidR="000B3B4C" w:rsidRDefault="000B3B4C" w:rsidP="0090435F">
            <w:pPr>
              <w:spacing w:line="272" w:lineRule="exact"/>
              <w:rPr>
                <w:rFonts w:ascii="宋体" w:hAnsi="宋体"/>
              </w:rPr>
            </w:pPr>
            <w:r>
              <w:rPr>
                <w:rFonts w:ascii="宋体" w:hAnsi="宋体" w:hint="eastAsia"/>
              </w:rPr>
              <w:t>炸</w:t>
            </w:r>
          </w:p>
          <w:p w:rsidR="000B3B4C" w:rsidRDefault="000B3B4C" w:rsidP="0090435F">
            <w:pPr>
              <w:spacing w:line="272" w:lineRule="exact"/>
              <w:rPr>
                <w:rFonts w:ascii="宋体" w:hAnsi="宋体"/>
              </w:rPr>
            </w:pPr>
            <w:r>
              <w:rPr>
                <w:rFonts w:ascii="宋体" w:hAnsi="宋体" w:hint="eastAsia"/>
              </w:rPr>
              <w:t>危</w:t>
            </w:r>
          </w:p>
          <w:p w:rsidR="000B3B4C" w:rsidRDefault="000B3B4C" w:rsidP="0090435F">
            <w:pPr>
              <w:spacing w:line="272" w:lineRule="exact"/>
              <w:rPr>
                <w:rFonts w:ascii="宋体" w:hAnsi="宋体"/>
              </w:rPr>
            </w:pPr>
            <w:r>
              <w:rPr>
                <w:rFonts w:ascii="宋体" w:hAnsi="宋体" w:hint="eastAsia"/>
              </w:rPr>
              <w:t>险</w:t>
            </w:r>
          </w:p>
          <w:p w:rsidR="000B3B4C" w:rsidRDefault="000B3B4C" w:rsidP="0090435F">
            <w:pPr>
              <w:spacing w:line="272" w:lineRule="exact"/>
              <w:rPr>
                <w:rFonts w:ascii="宋体" w:hAnsi="宋体"/>
              </w:rPr>
            </w:pPr>
            <w:r>
              <w:rPr>
                <w:rFonts w:ascii="宋体" w:hAnsi="宋体" w:hint="eastAsia"/>
              </w:rPr>
              <w:t>性</w:t>
            </w:r>
          </w:p>
        </w:tc>
        <w:tc>
          <w:tcPr>
            <w:tcW w:w="3290" w:type="dxa"/>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燃烧性：可燃</w:t>
            </w:r>
          </w:p>
        </w:tc>
        <w:tc>
          <w:tcPr>
            <w:tcW w:w="5391" w:type="dxa"/>
            <w:gridSpan w:val="3"/>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闪点（℃）：</w:t>
            </w:r>
            <w:r>
              <w:rPr>
                <w:rFonts w:ascii="宋体" w:hAnsi="宋体" w:hint="eastAsia"/>
                <w:szCs w:val="18"/>
              </w:rPr>
              <w:t>&gt;112</w:t>
            </w:r>
          </w:p>
        </w:tc>
      </w:tr>
      <w:tr w:rsidR="000B3B4C" w:rsidTr="0090435F">
        <w:trPr>
          <w:cantSplit/>
          <w:jc w:val="center"/>
        </w:trPr>
        <w:tc>
          <w:tcPr>
            <w:tcW w:w="493" w:type="dxa"/>
            <w:vMerge/>
            <w:tcBorders>
              <w:top w:val="single" w:sz="4" w:space="0" w:color="auto"/>
              <w:left w:val="single" w:sz="4" w:space="0" w:color="auto"/>
              <w:right w:val="single" w:sz="4" w:space="0" w:color="auto"/>
            </w:tcBorders>
            <w:vAlign w:val="center"/>
          </w:tcPr>
          <w:p w:rsidR="000B3B4C" w:rsidRDefault="000B3B4C" w:rsidP="0090435F">
            <w:pPr>
              <w:spacing w:line="272"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vertAlign w:val="superscript"/>
              </w:rPr>
            </w:pPr>
            <w:r>
              <w:rPr>
                <w:rFonts w:ascii="宋体" w:hAnsi="宋体" w:hint="eastAsia"/>
              </w:rPr>
              <w:t>爆炸下限（%）：无资料</w:t>
            </w:r>
          </w:p>
        </w:tc>
        <w:tc>
          <w:tcPr>
            <w:tcW w:w="5391" w:type="dxa"/>
            <w:gridSpan w:val="3"/>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爆炸上限（%）：无资料</w:t>
            </w:r>
          </w:p>
        </w:tc>
      </w:tr>
      <w:tr w:rsidR="000B3B4C" w:rsidTr="0090435F">
        <w:trPr>
          <w:cantSplit/>
          <w:jc w:val="center"/>
        </w:trPr>
        <w:tc>
          <w:tcPr>
            <w:tcW w:w="493" w:type="dxa"/>
            <w:vMerge/>
            <w:tcBorders>
              <w:top w:val="single" w:sz="4" w:space="0" w:color="auto"/>
              <w:left w:val="single" w:sz="4" w:space="0" w:color="auto"/>
              <w:right w:val="single" w:sz="4" w:space="0" w:color="auto"/>
            </w:tcBorders>
            <w:vAlign w:val="center"/>
          </w:tcPr>
          <w:p w:rsidR="000B3B4C" w:rsidRDefault="000B3B4C" w:rsidP="0090435F">
            <w:pPr>
              <w:spacing w:line="272"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引燃温度（℃）：无资料</w:t>
            </w:r>
          </w:p>
        </w:tc>
        <w:tc>
          <w:tcPr>
            <w:tcW w:w="5391" w:type="dxa"/>
            <w:gridSpan w:val="3"/>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最小点火能（mJ）：无资料</w:t>
            </w:r>
          </w:p>
        </w:tc>
      </w:tr>
      <w:tr w:rsidR="000B3B4C" w:rsidTr="0090435F">
        <w:trPr>
          <w:cantSplit/>
          <w:jc w:val="center"/>
        </w:trPr>
        <w:tc>
          <w:tcPr>
            <w:tcW w:w="493" w:type="dxa"/>
            <w:vMerge/>
            <w:tcBorders>
              <w:left w:val="single" w:sz="4" w:space="0" w:color="auto"/>
              <w:right w:val="single" w:sz="4" w:space="0" w:color="auto"/>
            </w:tcBorders>
            <w:vAlign w:val="center"/>
          </w:tcPr>
          <w:p w:rsidR="000B3B4C" w:rsidRDefault="000B3B4C" w:rsidP="0090435F">
            <w:pPr>
              <w:spacing w:line="272"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最大爆炸压力（MPa）：无资料</w:t>
            </w:r>
          </w:p>
        </w:tc>
        <w:tc>
          <w:tcPr>
            <w:tcW w:w="5391" w:type="dxa"/>
            <w:gridSpan w:val="3"/>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稳定性：</w:t>
            </w:r>
          </w:p>
        </w:tc>
      </w:tr>
      <w:tr w:rsidR="000B3B4C" w:rsidTr="0090435F">
        <w:trPr>
          <w:cantSplit/>
          <w:jc w:val="center"/>
        </w:trPr>
        <w:tc>
          <w:tcPr>
            <w:tcW w:w="493" w:type="dxa"/>
            <w:vMerge/>
            <w:tcBorders>
              <w:left w:val="single" w:sz="4" w:space="0" w:color="auto"/>
              <w:right w:val="single" w:sz="4" w:space="0" w:color="auto"/>
            </w:tcBorders>
            <w:vAlign w:val="center"/>
          </w:tcPr>
          <w:p w:rsidR="000B3B4C" w:rsidRDefault="000B3B4C" w:rsidP="0090435F">
            <w:pPr>
              <w:spacing w:line="272"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 xml:space="preserve">聚合危害： </w:t>
            </w:r>
          </w:p>
        </w:tc>
        <w:tc>
          <w:tcPr>
            <w:tcW w:w="5391" w:type="dxa"/>
            <w:gridSpan w:val="3"/>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燃烧分解产物: 一氧化碳、二氧化碳、氮氧化物、</w:t>
            </w:r>
            <w:r>
              <w:rPr>
                <w:rFonts w:ascii="宋体" w:hAnsi="宋体" w:hint="eastAsia"/>
                <w:szCs w:val="18"/>
              </w:rPr>
              <w:t>溴</w:t>
            </w:r>
            <w:r>
              <w:rPr>
                <w:rFonts w:ascii="宋体" w:hAnsi="宋体" w:hint="eastAsia"/>
              </w:rPr>
              <w:t>化氢。</w:t>
            </w:r>
          </w:p>
        </w:tc>
      </w:tr>
      <w:tr w:rsidR="000B3B4C" w:rsidTr="0090435F">
        <w:trPr>
          <w:cantSplit/>
          <w:jc w:val="center"/>
        </w:trPr>
        <w:tc>
          <w:tcPr>
            <w:tcW w:w="493" w:type="dxa"/>
            <w:vMerge/>
            <w:tcBorders>
              <w:left w:val="single" w:sz="4" w:space="0" w:color="auto"/>
              <w:right w:val="single" w:sz="4" w:space="0" w:color="auto"/>
            </w:tcBorders>
            <w:vAlign w:val="center"/>
          </w:tcPr>
          <w:p w:rsidR="000B3B4C" w:rsidRDefault="000B3B4C" w:rsidP="0090435F">
            <w:pPr>
              <w:spacing w:line="272" w:lineRule="exact"/>
              <w:rPr>
                <w:rFonts w:ascii="宋体" w:hAnsi="宋体"/>
              </w:rPr>
            </w:pPr>
          </w:p>
        </w:tc>
        <w:tc>
          <w:tcPr>
            <w:tcW w:w="3290" w:type="dxa"/>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避免接触的条件：光照</w:t>
            </w:r>
          </w:p>
        </w:tc>
        <w:tc>
          <w:tcPr>
            <w:tcW w:w="5391" w:type="dxa"/>
            <w:gridSpan w:val="3"/>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禁忌物：强氧化剂、酸类、酸酐、酰基氯。</w:t>
            </w:r>
          </w:p>
        </w:tc>
      </w:tr>
      <w:tr w:rsidR="000B3B4C" w:rsidTr="0090435F">
        <w:trPr>
          <w:cantSplit/>
          <w:jc w:val="center"/>
        </w:trPr>
        <w:tc>
          <w:tcPr>
            <w:tcW w:w="493" w:type="dxa"/>
            <w:vMerge/>
            <w:tcBorders>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p>
        </w:tc>
        <w:tc>
          <w:tcPr>
            <w:tcW w:w="8681" w:type="dxa"/>
            <w:gridSpan w:val="4"/>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危险特性: 遇明火、高热可燃。与氧化剂可发生反应。受高热分解放出有毒的气体。若遇高热，容器内压增大，有开裂和爆炸的危险。</w:t>
            </w:r>
          </w:p>
        </w:tc>
      </w:tr>
      <w:tr w:rsidR="000B3B4C" w:rsidTr="0090435F">
        <w:trPr>
          <w:cantSplit/>
          <w:jc w:val="center"/>
        </w:trPr>
        <w:tc>
          <w:tcPr>
            <w:tcW w:w="493" w:type="dxa"/>
            <w:vMerge/>
            <w:tcBorders>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p>
        </w:tc>
        <w:tc>
          <w:tcPr>
            <w:tcW w:w="8681" w:type="dxa"/>
            <w:gridSpan w:val="4"/>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灭火方法：消防人员须佩戴防毒面具、穿全身消防服，在上风向灭火。尽可能将容器从火场移至空旷处。喷水保持火场容器冷却，直至灭火结束。处在火场中的容器若已变色或从安全泄压装置中产生声音，必须马上撤离。灭火剂：雾状水、泡沫、干粉、二氧化碳、砂土。不宜用水。</w:t>
            </w:r>
          </w:p>
        </w:tc>
      </w:tr>
      <w:tr w:rsidR="000B3B4C"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毒</w:t>
            </w:r>
          </w:p>
          <w:p w:rsidR="000B3B4C" w:rsidRDefault="000B3B4C" w:rsidP="0090435F">
            <w:pPr>
              <w:spacing w:line="272" w:lineRule="exact"/>
              <w:rPr>
                <w:rFonts w:ascii="宋体" w:hAnsi="宋体"/>
              </w:rPr>
            </w:pPr>
            <w:r>
              <w:rPr>
                <w:rFonts w:ascii="宋体" w:hAnsi="宋体" w:hint="eastAsia"/>
              </w:rPr>
              <w:t>性</w:t>
            </w:r>
          </w:p>
        </w:tc>
        <w:tc>
          <w:tcPr>
            <w:tcW w:w="8681" w:type="dxa"/>
            <w:gridSpan w:val="4"/>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 xml:space="preserve"> </w:t>
            </w:r>
          </w:p>
          <w:p w:rsidR="000B3B4C" w:rsidRDefault="000B3B4C" w:rsidP="0090435F">
            <w:pPr>
              <w:spacing w:line="27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0B3B4C" w:rsidTr="0090435F">
        <w:trPr>
          <w:cantSplit/>
          <w:trHeight w:val="240"/>
          <w:jc w:val="center"/>
        </w:trPr>
        <w:tc>
          <w:tcPr>
            <w:tcW w:w="493" w:type="dxa"/>
            <w:vMerge w:val="restart"/>
            <w:tcBorders>
              <w:top w:val="single" w:sz="4" w:space="0" w:color="auto"/>
              <w:left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健康危害</w:t>
            </w:r>
          </w:p>
        </w:tc>
        <w:tc>
          <w:tcPr>
            <w:tcW w:w="8681" w:type="dxa"/>
            <w:gridSpan w:val="4"/>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侵入途经：吸入、食入、经皮吸收。</w:t>
            </w:r>
          </w:p>
        </w:tc>
      </w:tr>
      <w:tr w:rsidR="000B3B4C" w:rsidTr="0090435F">
        <w:trPr>
          <w:cantSplit/>
          <w:jc w:val="center"/>
        </w:trPr>
        <w:tc>
          <w:tcPr>
            <w:tcW w:w="493" w:type="dxa"/>
            <w:vMerge/>
            <w:tcBorders>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p>
        </w:tc>
        <w:tc>
          <w:tcPr>
            <w:tcW w:w="8681" w:type="dxa"/>
            <w:gridSpan w:val="4"/>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有毒。具刺激作用。吸收后，可形成高铁血红蛋白致紫绀。对肝、肾有损害。 </w:t>
            </w:r>
          </w:p>
        </w:tc>
      </w:tr>
      <w:tr w:rsidR="000B3B4C" w:rsidTr="0090435F">
        <w:trPr>
          <w:cantSplit/>
          <w:jc w:val="center"/>
        </w:trPr>
        <w:tc>
          <w:tcPr>
            <w:tcW w:w="493" w:type="dxa"/>
            <w:tcBorders>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急</w:t>
            </w:r>
          </w:p>
          <w:p w:rsidR="000B3B4C" w:rsidRDefault="000B3B4C" w:rsidP="0090435F">
            <w:pPr>
              <w:spacing w:line="272" w:lineRule="exact"/>
              <w:rPr>
                <w:rFonts w:ascii="宋体" w:hAnsi="宋体"/>
              </w:rPr>
            </w:pPr>
            <w:r>
              <w:rPr>
                <w:rFonts w:ascii="宋体" w:hAnsi="宋体" w:hint="eastAsia"/>
              </w:rPr>
              <w:t>救</w:t>
            </w:r>
          </w:p>
        </w:tc>
        <w:tc>
          <w:tcPr>
            <w:tcW w:w="8681" w:type="dxa"/>
            <w:gridSpan w:val="4"/>
            <w:tcBorders>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皮肤接触：脱去污染的衣着，用大量流动清水冲洗。  ※眼睛接触：提起眼睑，用流动清水或生理盐水冲洗。就医。   ※吸入: 迅速脱离现场至空气新鲜处。保持呼吸道通畅。如呼吸困难，给输氧。如呼吸停止，立即进行人工呼吸。就医。   ※食入: 饮足量温水，催吐。就医。</w:t>
            </w:r>
          </w:p>
        </w:tc>
      </w:tr>
      <w:tr w:rsidR="000B3B4C"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防</w:t>
            </w:r>
          </w:p>
          <w:p w:rsidR="000B3B4C" w:rsidRDefault="000B3B4C" w:rsidP="0090435F">
            <w:pPr>
              <w:spacing w:line="272" w:lineRule="exact"/>
              <w:rPr>
                <w:rFonts w:ascii="宋体" w:hAnsi="宋体"/>
              </w:rPr>
            </w:pPr>
            <w:r>
              <w:rPr>
                <w:rFonts w:ascii="宋体" w:hAnsi="宋体" w:hint="eastAsia"/>
              </w:rPr>
              <w:t>护</w:t>
            </w:r>
          </w:p>
        </w:tc>
        <w:tc>
          <w:tcPr>
            <w:tcW w:w="8681" w:type="dxa"/>
            <w:gridSpan w:val="4"/>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工程控制：密闭操作，局部排风。    ※呼吸系统防护：空气中浓度超标时，必须佩戴自吸过滤式防毒面具（半面罩）。紧急事态抢救或撤离时，应该佩戴空气呼吸器。   ※</w:t>
            </w:r>
            <w:r>
              <w:rPr>
                <w:rFonts w:ascii="宋体" w:hAnsi="宋体"/>
              </w:rPr>
              <w:t>眼睛防护</w:t>
            </w:r>
            <w:r>
              <w:rPr>
                <w:rFonts w:ascii="宋体" w:hAnsi="宋体" w:hint="eastAsia"/>
              </w:rPr>
              <w:t>：戴化学安全防护眼镜。   ※</w:t>
            </w:r>
            <w:r>
              <w:rPr>
                <w:rFonts w:ascii="宋体" w:hAnsi="宋体"/>
              </w:rPr>
              <w:t>身体防护</w:t>
            </w:r>
            <w:r>
              <w:rPr>
                <w:rFonts w:ascii="宋体" w:hAnsi="宋体" w:hint="eastAsia"/>
              </w:rPr>
              <w:t>：穿防毒物渗透工作服。   ※</w:t>
            </w:r>
            <w:r>
              <w:rPr>
                <w:rFonts w:ascii="宋体" w:hAnsi="宋体"/>
              </w:rPr>
              <w:t>手防护</w:t>
            </w:r>
            <w:r>
              <w:rPr>
                <w:rFonts w:ascii="宋体" w:hAnsi="宋体" w:hint="eastAsia"/>
              </w:rPr>
              <w:t>：戴橡胶手套。   ※其它：工作场所禁止吸烟、进食和饮水，饭前要洗手。工作完毕，淋浴更衣。保持良好的卫生习惯。</w:t>
            </w:r>
          </w:p>
        </w:tc>
      </w:tr>
      <w:tr w:rsidR="000B3B4C"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泄</w:t>
            </w:r>
          </w:p>
          <w:p w:rsidR="000B3B4C" w:rsidRDefault="000B3B4C" w:rsidP="0090435F">
            <w:pPr>
              <w:spacing w:line="272" w:lineRule="exact"/>
              <w:rPr>
                <w:rFonts w:ascii="宋体" w:hAnsi="宋体"/>
              </w:rPr>
            </w:pPr>
            <w:r>
              <w:rPr>
                <w:rFonts w:ascii="宋体" w:hAnsi="宋体" w:hint="eastAsia"/>
              </w:rPr>
              <w:t>漏</w:t>
            </w:r>
          </w:p>
          <w:p w:rsidR="000B3B4C" w:rsidRDefault="000B3B4C" w:rsidP="0090435F">
            <w:pPr>
              <w:spacing w:line="272" w:lineRule="exact"/>
              <w:rPr>
                <w:rFonts w:ascii="宋体" w:hAnsi="宋体"/>
              </w:rPr>
            </w:pPr>
            <w:r>
              <w:rPr>
                <w:rFonts w:ascii="宋体" w:hAnsi="宋体" w:hint="eastAsia"/>
              </w:rPr>
              <w:t>处</w:t>
            </w:r>
          </w:p>
          <w:p w:rsidR="000B3B4C" w:rsidRDefault="000B3B4C" w:rsidP="0090435F">
            <w:pPr>
              <w:spacing w:line="272" w:lineRule="exact"/>
              <w:rPr>
                <w:rFonts w:ascii="宋体" w:hAnsi="宋体"/>
                <w:bCs/>
              </w:rPr>
            </w:pPr>
            <w:r>
              <w:rPr>
                <w:rFonts w:ascii="宋体" w:hAnsi="宋体" w:hint="eastAsia"/>
                <w:bCs/>
              </w:rPr>
              <w:t>理</w:t>
            </w:r>
          </w:p>
        </w:tc>
        <w:tc>
          <w:tcPr>
            <w:tcW w:w="8681" w:type="dxa"/>
            <w:gridSpan w:val="4"/>
            <w:tcBorders>
              <w:top w:val="single" w:sz="4" w:space="0" w:color="auto"/>
              <w:left w:val="single" w:sz="4" w:space="0" w:color="auto"/>
              <w:bottom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迅速撤离泄漏污染区人员至安全区，并进行隔离，严格限制出入。切断火源。建议应急处理人员戴自给式呼吸器，穿防毒服。不要直接接触泄漏物。尽可能切断泄漏源。若是液体，防止流入下水道、排洪沟等限制性空间。用砂土、蛭石或其它惰性材料吸收。若大量泄漏，构筑围堤或挖坑收容。用泵转移至槽车或专用收集器内，回收或运至废物处理场所处置。若是固体，用洁净的铲子收集于干燥、洁净、有盖的容器中。</w:t>
            </w:r>
          </w:p>
        </w:tc>
      </w:tr>
      <w:tr w:rsidR="000B3B4C" w:rsidTr="0090435F">
        <w:trPr>
          <w:cantSplit/>
          <w:jc w:val="center"/>
        </w:trPr>
        <w:tc>
          <w:tcPr>
            <w:tcW w:w="493" w:type="dxa"/>
            <w:tcBorders>
              <w:top w:val="single" w:sz="4" w:space="0" w:color="auto"/>
              <w:left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储</w:t>
            </w:r>
          </w:p>
          <w:p w:rsidR="000B3B4C" w:rsidRDefault="000B3B4C" w:rsidP="0090435F">
            <w:pPr>
              <w:spacing w:line="272" w:lineRule="exact"/>
              <w:rPr>
                <w:rFonts w:ascii="宋体" w:hAnsi="宋体"/>
              </w:rPr>
            </w:pPr>
            <w:r>
              <w:rPr>
                <w:rFonts w:ascii="宋体" w:hAnsi="宋体" w:hint="eastAsia"/>
              </w:rPr>
              <w:t>运</w:t>
            </w:r>
          </w:p>
        </w:tc>
        <w:tc>
          <w:tcPr>
            <w:tcW w:w="8681" w:type="dxa"/>
            <w:gridSpan w:val="4"/>
            <w:tcBorders>
              <w:top w:val="single" w:sz="4" w:space="0" w:color="auto"/>
              <w:left w:val="single" w:sz="4" w:space="0" w:color="auto"/>
              <w:right w:val="single" w:sz="4" w:space="0" w:color="auto"/>
            </w:tcBorders>
            <w:vAlign w:val="center"/>
          </w:tcPr>
          <w:p w:rsidR="000B3B4C" w:rsidRDefault="000B3B4C" w:rsidP="0090435F">
            <w:pPr>
              <w:spacing w:line="272" w:lineRule="exact"/>
              <w:rPr>
                <w:rFonts w:ascii="宋体" w:hAnsi="宋体"/>
              </w:rPr>
            </w:pPr>
            <w:r>
              <w:rPr>
                <w:rFonts w:ascii="宋体" w:hAnsi="宋体" w:hint="eastAsia"/>
              </w:rPr>
              <w:t>储存于阴凉、通风的库房。远离火种、热源。防止阳光直射。保持容器密封。应与氧化剂、酸类、酸酐、酰基氯、食用化学品分开存放，切忌混储。配备相应品种和数量的消防器材。储区应备有泄漏应急处理设备和合适的收容材料。</w:t>
            </w:r>
          </w:p>
          <w:p w:rsidR="000B3B4C" w:rsidRDefault="000B3B4C" w:rsidP="0090435F">
            <w:pPr>
              <w:spacing w:line="272" w:lineRule="exact"/>
              <w:rPr>
                <w:rFonts w:ascii="宋体" w:hAnsi="宋体"/>
              </w:rPr>
            </w:pPr>
            <w:r>
              <w:rPr>
                <w:rFonts w:ascii="宋体" w:hAnsi="宋体" w:hint="eastAsia"/>
              </w:rPr>
              <w:t>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勿在居民区和人口稠密区停留。</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B4C"/>
    <w:rsid w:val="000B3B4C"/>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376A2E-33F7-43A0-B07D-6567FF7A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0B3B4C"/>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B3B4C"/>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1314</Characters>
  <Application>Microsoft Office Word</Application>
  <DocSecurity>0</DocSecurity>
  <Lines>10</Lines>
  <Paragraphs>3</Paragraphs>
  <ScaleCrop>false</ScaleCrop>
  <Company>zyhq</Company>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2021-06-02T07:10:00Z</dcterms:created>
  <dcterms:modified xsi:type="dcterms:W3CDTF">2021-06-02T07:10:00Z</dcterms:modified>
</cp:coreProperties>
</file>